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SinespaciadoC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E67D7" wp14:editId="5DD27740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5F4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1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  <w:vertAlign w:val="superscript"/>
        </w:rPr>
        <w:t>er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3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:rsidR="005545A3" w:rsidRPr="00C079CB" w:rsidRDefault="00EE3230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  <w:r>
        <w:rPr>
          <w:rFonts w:ascii="Times New Roman" w:hAnsi="Times New Roman" w:cs="Times New Roman"/>
          <w:b/>
          <w:bCs/>
          <w:color w:val="4C4747"/>
          <w:szCs w:val="24"/>
        </w:rPr>
        <w:t>OCABID</w:t>
      </w:r>
    </w:p>
    <w:p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5858EF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>Al cierre del primer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, la OCABID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nuevo (09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 iniciados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y adjudicados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, de los cuales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uno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) fue declarado desierto y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uno (1)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cancelado.</w:t>
      </w:r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341D5F6" wp14:editId="1FBA1224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cuatro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04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 fueron suplidores MIPYMES y de éstos, 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dos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02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MIPYMES Mujer.</w:t>
      </w:r>
    </w:p>
    <w:p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602A5E13" wp14:editId="5467F750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El monto adjudicado en procesos de Compras Directas (CD) ascendió a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Ciento cincuenta y cuatro mil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016917">
        <w:rPr>
          <w:rFonts w:ascii="Times New Roman" w:hAnsi="Times New Roman" w:cs="Times New Roman"/>
          <w:i/>
          <w:color w:val="4C4747"/>
          <w:sz w:val="24"/>
          <w:szCs w:val="24"/>
        </w:rPr>
        <w:t>doscientos veintisiete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treinta y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seis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(RD$1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>54,227.36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Por concepto de Compras Menores (CM) ascendió a 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Un millón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ciento treinta y seis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novecientos noventa y cinco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 con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noventa y ocho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(RD$1,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 xml:space="preserve">136,995.98),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para un total adjudicado por concepto de compras de bienes y servicios al cierre del 30 de 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>marzo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Un millón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doscientos noventa y </w:t>
      </w:r>
      <w:proofErr w:type="gramStart"/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un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doscientos veintitrés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pesos dominicanos</w:t>
      </w:r>
      <w:proofErr w:type="gramEnd"/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 </w:t>
      </w:r>
      <w:r w:rsidR="00C06FFF">
        <w:rPr>
          <w:rFonts w:ascii="Times New Roman" w:hAnsi="Times New Roman" w:cs="Times New Roman"/>
          <w:i/>
          <w:color w:val="4C4747"/>
          <w:sz w:val="24"/>
          <w:szCs w:val="24"/>
        </w:rPr>
        <w:t>treinta y cuatro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C06FFF">
        <w:rPr>
          <w:rFonts w:ascii="Times New Roman" w:hAnsi="Times New Roman" w:cs="Times New Roman"/>
          <w:color w:val="4C4747"/>
          <w:sz w:val="24"/>
          <w:szCs w:val="24"/>
        </w:rPr>
        <w:t>1,291,223.34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:rsidR="0063662F" w:rsidRDefault="00B26662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5029200" cy="29337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662F" w:rsidRDefault="00DD6F51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>
            <wp:extent cx="5029200" cy="33718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63662F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18" w:rsidRDefault="00865B18" w:rsidP="00837D56">
      <w:pPr>
        <w:spacing w:after="0" w:line="240" w:lineRule="auto"/>
      </w:pPr>
      <w:r>
        <w:separator/>
      </w:r>
    </w:p>
  </w:endnote>
  <w:endnote w:type="continuationSeparator" w:id="0">
    <w:p w:rsidR="00865B18" w:rsidRDefault="00865B18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Default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Página</w:t>
                          </w:r>
                          <w:r w:rsidRPr="001A7B07">
                            <w:rPr>
                              <w:rFonts w:eastAsiaTheme="minorEastAsia" w:cs="Times New Roman"/>
                              <w:sz w:val="14"/>
                            </w:rPr>
                            <w:fldChar w:fldCharType="begin"/>
                          </w:r>
                          <w:r w:rsidRPr="001A7B07">
                            <w:rPr>
                              <w:sz w:val="14"/>
                            </w:rPr>
                            <w:instrText>PAGE    \* MERGEFORMAT</w:instrText>
                          </w:r>
                          <w:r w:rsidRPr="001A7B07">
                            <w:rPr>
                              <w:rFonts w:eastAsiaTheme="minorEastAsia" w:cs="Times New Roman"/>
                              <w:sz w:val="14"/>
                            </w:rPr>
                            <w:fldChar w:fldCharType="separate"/>
                          </w:r>
                          <w:r w:rsidR="00655410" w:rsidRPr="00655410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44"/>
                              <w:lang w:val="es-ES"/>
                            </w:rPr>
                            <w:t>3</w:t>
                          </w:r>
                          <w:r w:rsidRPr="001A7B07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4"/>
                            </w:rPr>
                            <w:fldChar w:fldCharType="end"/>
                          </w:r>
                          <w:r w:rsidRPr="001A7B07">
                            <w:rPr>
                              <w:rFonts w:asciiTheme="majorHAnsi" w:eastAsiaTheme="majorEastAsia" w:hAnsiTheme="majorHAnsi" w:cstheme="majorHAnsi"/>
                              <w:sz w:val="28"/>
                              <w:szCs w:val="44"/>
                            </w:rPr>
                            <w:t>│</w:t>
                          </w:r>
                          <w:r w:rsidRPr="001A7B07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1A7B07" w:rsidRDefault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Página</w:t>
                    </w:r>
                    <w:r w:rsidRPr="001A7B07">
                      <w:rPr>
                        <w:rFonts w:eastAsiaTheme="minorEastAsia" w:cs="Times New Roman"/>
                        <w:sz w:val="14"/>
                      </w:rPr>
                      <w:fldChar w:fldCharType="begin"/>
                    </w:r>
                    <w:r w:rsidRPr="001A7B07">
                      <w:rPr>
                        <w:sz w:val="14"/>
                      </w:rPr>
                      <w:instrText>PAGE    \* MERGEFORMAT</w:instrText>
                    </w:r>
                    <w:r w:rsidRPr="001A7B07">
                      <w:rPr>
                        <w:rFonts w:eastAsiaTheme="minorEastAsia" w:cs="Times New Roman"/>
                        <w:sz w:val="14"/>
                      </w:rPr>
                      <w:fldChar w:fldCharType="separate"/>
                    </w:r>
                    <w:r w:rsidR="00655410" w:rsidRPr="00655410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44"/>
                        <w:lang w:val="es-ES"/>
                      </w:rPr>
                      <w:t>3</w:t>
                    </w:r>
                    <w:r w:rsidRPr="001A7B07">
                      <w:rPr>
                        <w:rFonts w:asciiTheme="majorHAnsi" w:eastAsiaTheme="majorEastAsia" w:hAnsiTheme="majorHAnsi" w:cstheme="majorBidi"/>
                        <w:sz w:val="28"/>
                        <w:szCs w:val="44"/>
                      </w:rPr>
                      <w:fldChar w:fldCharType="end"/>
                    </w:r>
                    <w:r w:rsidRPr="001A7B07">
                      <w:rPr>
                        <w:rFonts w:asciiTheme="majorHAnsi" w:eastAsiaTheme="majorEastAsia" w:hAnsiTheme="majorHAnsi" w:cstheme="majorHAnsi"/>
                        <w:sz w:val="28"/>
                        <w:szCs w:val="44"/>
                      </w:rPr>
                      <w:t>│</w:t>
                    </w:r>
                    <w:r w:rsidRPr="001A7B07">
                      <w:rPr>
                        <w:rFonts w:asciiTheme="majorHAnsi" w:eastAsiaTheme="majorEastAsia" w:hAnsiTheme="majorHAnsi" w:cstheme="majorBidi"/>
                        <w:sz w:val="28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73BE1C" wp14:editId="6A5129E9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B07" w:rsidRDefault="001A7B07" w:rsidP="001A7B07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Página</w:t>
                          </w:r>
                          <w:r w:rsidRPr="001A7B07">
                            <w:rPr>
                              <w:rFonts w:eastAsiaTheme="minorEastAsia" w:cs="Times New Roman"/>
                              <w:sz w:val="14"/>
                            </w:rPr>
                            <w:fldChar w:fldCharType="begin"/>
                          </w:r>
                          <w:r w:rsidRPr="001A7B07">
                            <w:rPr>
                              <w:sz w:val="14"/>
                            </w:rPr>
                            <w:instrText>PAGE    \* MERGEFORMAT</w:instrText>
                          </w:r>
                          <w:r w:rsidRPr="001A7B07">
                            <w:rPr>
                              <w:rFonts w:eastAsiaTheme="minorEastAsia" w:cs="Times New Roman"/>
                              <w:sz w:val="14"/>
                            </w:rPr>
                            <w:fldChar w:fldCharType="separate"/>
                          </w:r>
                          <w:r w:rsidRPr="001A7B07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44"/>
                              <w:lang w:val="es-ES"/>
                            </w:rPr>
                            <w:t>1</w:t>
                          </w:r>
                          <w:r w:rsidRPr="001A7B07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4"/>
                            </w:rPr>
                            <w:fldChar w:fldCharType="end"/>
                          </w:r>
                          <w:r w:rsidRPr="001A7B07">
                            <w:rPr>
                              <w:rFonts w:asciiTheme="majorHAnsi" w:eastAsiaTheme="majorEastAsia" w:hAnsiTheme="majorHAnsi" w:cstheme="majorHAnsi"/>
                              <w:sz w:val="28"/>
                              <w:szCs w:val="44"/>
                            </w:rPr>
                            <w:t>│</w:t>
                          </w:r>
                          <w:r w:rsidRPr="001A7B07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3BE1C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1A7B07" w:rsidRDefault="001A7B07" w:rsidP="001A7B07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Página</w:t>
                    </w:r>
                    <w:r w:rsidRPr="001A7B07">
                      <w:rPr>
                        <w:rFonts w:eastAsiaTheme="minorEastAsia" w:cs="Times New Roman"/>
                        <w:sz w:val="14"/>
                      </w:rPr>
                      <w:fldChar w:fldCharType="begin"/>
                    </w:r>
                    <w:r w:rsidRPr="001A7B07">
                      <w:rPr>
                        <w:sz w:val="14"/>
                      </w:rPr>
                      <w:instrText>PAGE    \* MERGEFORMAT</w:instrText>
                    </w:r>
                    <w:r w:rsidRPr="001A7B07">
                      <w:rPr>
                        <w:rFonts w:eastAsiaTheme="minorEastAsia" w:cs="Times New Roman"/>
                        <w:sz w:val="14"/>
                      </w:rPr>
                      <w:fldChar w:fldCharType="separate"/>
                    </w:r>
                    <w:r w:rsidRPr="001A7B07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44"/>
                        <w:lang w:val="es-ES"/>
                      </w:rPr>
                      <w:t>1</w:t>
                    </w:r>
                    <w:r w:rsidRPr="001A7B07">
                      <w:rPr>
                        <w:rFonts w:asciiTheme="majorHAnsi" w:eastAsiaTheme="majorEastAsia" w:hAnsiTheme="majorHAnsi" w:cstheme="majorBidi"/>
                        <w:sz w:val="28"/>
                        <w:szCs w:val="44"/>
                      </w:rPr>
                      <w:fldChar w:fldCharType="end"/>
                    </w:r>
                    <w:r w:rsidRPr="001A7B07">
                      <w:rPr>
                        <w:rFonts w:asciiTheme="majorHAnsi" w:eastAsiaTheme="majorEastAsia" w:hAnsiTheme="majorHAnsi" w:cstheme="majorHAnsi"/>
                        <w:sz w:val="28"/>
                        <w:szCs w:val="44"/>
                      </w:rPr>
                      <w:t>│</w:t>
                    </w:r>
                    <w:r w:rsidRPr="001A7B07">
                      <w:rPr>
                        <w:rFonts w:asciiTheme="majorHAnsi" w:eastAsiaTheme="majorEastAsia" w:hAnsiTheme="majorHAnsi" w:cstheme="majorBidi"/>
                        <w:sz w:val="28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18" w:rsidRDefault="00865B18" w:rsidP="00837D56">
      <w:pPr>
        <w:spacing w:after="0" w:line="240" w:lineRule="auto"/>
      </w:pPr>
      <w:r>
        <w:separator/>
      </w:r>
    </w:p>
  </w:footnote>
  <w:footnote w:type="continuationSeparator" w:id="0">
    <w:p w:rsidR="00865B18" w:rsidRDefault="00865B18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0ACAABD0" wp14:editId="1C2E0F20">
          <wp:extent cx="1359535" cy="1286510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7" w:rsidRDefault="001A7B07">
    <w:pPr>
      <w:pStyle w:val="Encabezado"/>
    </w:pPr>
  </w:p>
  <w:p w:rsidR="001A7B07" w:rsidRDefault="001A7B07" w:rsidP="001A7B07">
    <w:pPr>
      <w:pStyle w:val="Encabezado"/>
      <w:jc w:val="center"/>
    </w:pPr>
    <w:r>
      <w:rPr>
        <w:noProof/>
        <w:lang w:val="en-US"/>
      </w:rPr>
      <w:drawing>
        <wp:inline distT="0" distB="0" distL="0" distR="0" wp14:anchorId="07D219C3">
          <wp:extent cx="1359535" cy="1286510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9"/>
  </w:num>
  <w:num w:numId="3">
    <w:abstractNumId w:val="29"/>
  </w:num>
  <w:num w:numId="4">
    <w:abstractNumId w:val="3"/>
  </w:num>
  <w:num w:numId="5">
    <w:abstractNumId w:val="24"/>
  </w:num>
  <w:num w:numId="6">
    <w:abstractNumId w:val="11"/>
  </w:num>
  <w:num w:numId="7">
    <w:abstractNumId w:val="21"/>
  </w:num>
  <w:num w:numId="8">
    <w:abstractNumId w:val="6"/>
  </w:num>
  <w:num w:numId="9">
    <w:abstractNumId w:val="10"/>
  </w:num>
  <w:num w:numId="10">
    <w:abstractNumId w:val="23"/>
  </w:num>
  <w:num w:numId="11">
    <w:abstractNumId w:val="26"/>
  </w:num>
  <w:num w:numId="12">
    <w:abstractNumId w:val="2"/>
  </w:num>
  <w:num w:numId="13">
    <w:abstractNumId w:val="4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2"/>
  </w:num>
  <w:num w:numId="23">
    <w:abstractNumId w:val="15"/>
  </w:num>
  <w:num w:numId="24">
    <w:abstractNumId w:val="27"/>
  </w:num>
  <w:num w:numId="25">
    <w:abstractNumId w:val="28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C"/>
    <w:rsid w:val="00000CB4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4EB9"/>
    <w:rsid w:val="000A4FD7"/>
    <w:rsid w:val="000A618F"/>
    <w:rsid w:val="000D2E8F"/>
    <w:rsid w:val="000D6E26"/>
    <w:rsid w:val="000D7930"/>
    <w:rsid w:val="000E711F"/>
    <w:rsid w:val="00106735"/>
    <w:rsid w:val="00114F34"/>
    <w:rsid w:val="00122382"/>
    <w:rsid w:val="001351E6"/>
    <w:rsid w:val="00136731"/>
    <w:rsid w:val="00146C7C"/>
    <w:rsid w:val="001604F3"/>
    <w:rsid w:val="00165B5D"/>
    <w:rsid w:val="001722A5"/>
    <w:rsid w:val="00173AE8"/>
    <w:rsid w:val="0017619B"/>
    <w:rsid w:val="00181509"/>
    <w:rsid w:val="00194872"/>
    <w:rsid w:val="001A49D8"/>
    <w:rsid w:val="001A7B07"/>
    <w:rsid w:val="001B016D"/>
    <w:rsid w:val="001B42C4"/>
    <w:rsid w:val="001B6DA9"/>
    <w:rsid w:val="001C6BA4"/>
    <w:rsid w:val="001E5408"/>
    <w:rsid w:val="00205FFF"/>
    <w:rsid w:val="00232054"/>
    <w:rsid w:val="00237C9A"/>
    <w:rsid w:val="00242506"/>
    <w:rsid w:val="00254716"/>
    <w:rsid w:val="00254C66"/>
    <w:rsid w:val="00261E07"/>
    <w:rsid w:val="002747B5"/>
    <w:rsid w:val="00283260"/>
    <w:rsid w:val="0029120A"/>
    <w:rsid w:val="002A5567"/>
    <w:rsid w:val="002A6F5B"/>
    <w:rsid w:val="002C73EB"/>
    <w:rsid w:val="002D7F4E"/>
    <w:rsid w:val="002F0FCF"/>
    <w:rsid w:val="002F5205"/>
    <w:rsid w:val="00310B5B"/>
    <w:rsid w:val="00312380"/>
    <w:rsid w:val="00312838"/>
    <w:rsid w:val="00326AF3"/>
    <w:rsid w:val="00344CB7"/>
    <w:rsid w:val="003502AA"/>
    <w:rsid w:val="00362FEF"/>
    <w:rsid w:val="00385C22"/>
    <w:rsid w:val="003916DE"/>
    <w:rsid w:val="00393172"/>
    <w:rsid w:val="00397CA6"/>
    <w:rsid w:val="003A4694"/>
    <w:rsid w:val="003A5C8F"/>
    <w:rsid w:val="003B7935"/>
    <w:rsid w:val="003C1336"/>
    <w:rsid w:val="003C7DBF"/>
    <w:rsid w:val="003F1249"/>
    <w:rsid w:val="003F4985"/>
    <w:rsid w:val="004036F7"/>
    <w:rsid w:val="00403CD0"/>
    <w:rsid w:val="00404B51"/>
    <w:rsid w:val="004066B6"/>
    <w:rsid w:val="0041340C"/>
    <w:rsid w:val="004162D2"/>
    <w:rsid w:val="00424041"/>
    <w:rsid w:val="00426BEE"/>
    <w:rsid w:val="0043685A"/>
    <w:rsid w:val="0045074A"/>
    <w:rsid w:val="00451A99"/>
    <w:rsid w:val="004551CC"/>
    <w:rsid w:val="00455E56"/>
    <w:rsid w:val="00456B79"/>
    <w:rsid w:val="004732A5"/>
    <w:rsid w:val="0047792C"/>
    <w:rsid w:val="00482C24"/>
    <w:rsid w:val="0049128C"/>
    <w:rsid w:val="0049553F"/>
    <w:rsid w:val="004B0438"/>
    <w:rsid w:val="004C0AC0"/>
    <w:rsid w:val="004C34F8"/>
    <w:rsid w:val="004D3590"/>
    <w:rsid w:val="004F704E"/>
    <w:rsid w:val="00507808"/>
    <w:rsid w:val="00527FBD"/>
    <w:rsid w:val="005302FF"/>
    <w:rsid w:val="00533C6C"/>
    <w:rsid w:val="00533FF6"/>
    <w:rsid w:val="00544948"/>
    <w:rsid w:val="005545A3"/>
    <w:rsid w:val="00555B3C"/>
    <w:rsid w:val="0055789B"/>
    <w:rsid w:val="005858EF"/>
    <w:rsid w:val="0058781C"/>
    <w:rsid w:val="005A5D0D"/>
    <w:rsid w:val="005D3CB8"/>
    <w:rsid w:val="005E74E0"/>
    <w:rsid w:val="00611CDB"/>
    <w:rsid w:val="00624CAB"/>
    <w:rsid w:val="006279B2"/>
    <w:rsid w:val="00632346"/>
    <w:rsid w:val="0063662F"/>
    <w:rsid w:val="006379A2"/>
    <w:rsid w:val="00646199"/>
    <w:rsid w:val="00655410"/>
    <w:rsid w:val="0065569C"/>
    <w:rsid w:val="006800FC"/>
    <w:rsid w:val="006813D2"/>
    <w:rsid w:val="00684718"/>
    <w:rsid w:val="006A0BF5"/>
    <w:rsid w:val="006A0EFE"/>
    <w:rsid w:val="006A1FE1"/>
    <w:rsid w:val="006A212F"/>
    <w:rsid w:val="006B4214"/>
    <w:rsid w:val="006C75BC"/>
    <w:rsid w:val="006D04A8"/>
    <w:rsid w:val="006F1DD2"/>
    <w:rsid w:val="00706988"/>
    <w:rsid w:val="00713FA9"/>
    <w:rsid w:val="00721CE6"/>
    <w:rsid w:val="00730555"/>
    <w:rsid w:val="00751EDB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E0176"/>
    <w:rsid w:val="007E60E1"/>
    <w:rsid w:val="007E6C56"/>
    <w:rsid w:val="007F3C16"/>
    <w:rsid w:val="008028AC"/>
    <w:rsid w:val="00835A25"/>
    <w:rsid w:val="00836C89"/>
    <w:rsid w:val="00837D56"/>
    <w:rsid w:val="00840DF5"/>
    <w:rsid w:val="0084263C"/>
    <w:rsid w:val="00847DFB"/>
    <w:rsid w:val="00865B18"/>
    <w:rsid w:val="00870C02"/>
    <w:rsid w:val="008721B5"/>
    <w:rsid w:val="0087257D"/>
    <w:rsid w:val="00884BD4"/>
    <w:rsid w:val="00893074"/>
    <w:rsid w:val="008A48D3"/>
    <w:rsid w:val="008B2604"/>
    <w:rsid w:val="008C6721"/>
    <w:rsid w:val="008E6F6C"/>
    <w:rsid w:val="0090334B"/>
    <w:rsid w:val="00915A48"/>
    <w:rsid w:val="00926098"/>
    <w:rsid w:val="009321DA"/>
    <w:rsid w:val="009417AE"/>
    <w:rsid w:val="009459B1"/>
    <w:rsid w:val="00945CA4"/>
    <w:rsid w:val="009470D6"/>
    <w:rsid w:val="00975FBB"/>
    <w:rsid w:val="009903ED"/>
    <w:rsid w:val="00994723"/>
    <w:rsid w:val="009A5209"/>
    <w:rsid w:val="009C0244"/>
    <w:rsid w:val="009C0697"/>
    <w:rsid w:val="009D2FC8"/>
    <w:rsid w:val="009D42EB"/>
    <w:rsid w:val="009D4C8F"/>
    <w:rsid w:val="009F57D5"/>
    <w:rsid w:val="00A04F41"/>
    <w:rsid w:val="00A1392F"/>
    <w:rsid w:val="00A23C36"/>
    <w:rsid w:val="00A24030"/>
    <w:rsid w:val="00A4111A"/>
    <w:rsid w:val="00A41C4C"/>
    <w:rsid w:val="00A4764D"/>
    <w:rsid w:val="00A51481"/>
    <w:rsid w:val="00A74B99"/>
    <w:rsid w:val="00A80662"/>
    <w:rsid w:val="00A80FB0"/>
    <w:rsid w:val="00A87CD4"/>
    <w:rsid w:val="00AA030F"/>
    <w:rsid w:val="00AB20C0"/>
    <w:rsid w:val="00AC6C11"/>
    <w:rsid w:val="00AD513A"/>
    <w:rsid w:val="00AD5DBB"/>
    <w:rsid w:val="00AF2873"/>
    <w:rsid w:val="00AF456C"/>
    <w:rsid w:val="00B26662"/>
    <w:rsid w:val="00B3525E"/>
    <w:rsid w:val="00B40F3F"/>
    <w:rsid w:val="00B438F4"/>
    <w:rsid w:val="00B44F62"/>
    <w:rsid w:val="00B573D5"/>
    <w:rsid w:val="00B62C59"/>
    <w:rsid w:val="00B71C22"/>
    <w:rsid w:val="00B876AB"/>
    <w:rsid w:val="00B91498"/>
    <w:rsid w:val="00B9614C"/>
    <w:rsid w:val="00BB2DD7"/>
    <w:rsid w:val="00BB69A2"/>
    <w:rsid w:val="00BF3274"/>
    <w:rsid w:val="00C06115"/>
    <w:rsid w:val="00C06FFF"/>
    <w:rsid w:val="00C079CB"/>
    <w:rsid w:val="00C34C0C"/>
    <w:rsid w:val="00C36F2C"/>
    <w:rsid w:val="00C37848"/>
    <w:rsid w:val="00C6057E"/>
    <w:rsid w:val="00CC19C2"/>
    <w:rsid w:val="00CE2076"/>
    <w:rsid w:val="00CF3D81"/>
    <w:rsid w:val="00D01782"/>
    <w:rsid w:val="00D13F41"/>
    <w:rsid w:val="00D376B9"/>
    <w:rsid w:val="00D42AE1"/>
    <w:rsid w:val="00D46DDA"/>
    <w:rsid w:val="00D66727"/>
    <w:rsid w:val="00D74C46"/>
    <w:rsid w:val="00D75ADC"/>
    <w:rsid w:val="00D956CA"/>
    <w:rsid w:val="00D96DB3"/>
    <w:rsid w:val="00DA5E1F"/>
    <w:rsid w:val="00DB68F9"/>
    <w:rsid w:val="00DC05C6"/>
    <w:rsid w:val="00DD6F51"/>
    <w:rsid w:val="00E12443"/>
    <w:rsid w:val="00E125E1"/>
    <w:rsid w:val="00E22252"/>
    <w:rsid w:val="00E26F07"/>
    <w:rsid w:val="00E30BD6"/>
    <w:rsid w:val="00E62ED7"/>
    <w:rsid w:val="00E72933"/>
    <w:rsid w:val="00E873EA"/>
    <w:rsid w:val="00E92E5B"/>
    <w:rsid w:val="00E97418"/>
    <w:rsid w:val="00EA5547"/>
    <w:rsid w:val="00EB792B"/>
    <w:rsid w:val="00EC0851"/>
    <w:rsid w:val="00EC33A1"/>
    <w:rsid w:val="00ED216A"/>
    <w:rsid w:val="00ED336D"/>
    <w:rsid w:val="00EE3230"/>
    <w:rsid w:val="00F02CBE"/>
    <w:rsid w:val="00F04961"/>
    <w:rsid w:val="00F04AC7"/>
    <w:rsid w:val="00F1279B"/>
    <w:rsid w:val="00F17424"/>
    <w:rsid w:val="00F212CB"/>
    <w:rsid w:val="00F21DA8"/>
    <w:rsid w:val="00F2285B"/>
    <w:rsid w:val="00F24D06"/>
    <w:rsid w:val="00F5074C"/>
    <w:rsid w:val="00F72ACB"/>
    <w:rsid w:val="00F8751B"/>
    <w:rsid w:val="00F927F5"/>
    <w:rsid w:val="00FA087B"/>
    <w:rsid w:val="00FD5C7F"/>
    <w:rsid w:val="00FE3CFF"/>
    <w:rsid w:val="00FF15F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59793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anormal"/>
    <w:next w:val="Listamedia2-nfasis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D56"/>
  </w:style>
  <w:style w:type="paragraph" w:styleId="Piedepgina">
    <w:name w:val="footer"/>
    <w:basedOn w:val="Normal"/>
    <w:link w:val="PiedepginaC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D56"/>
  </w:style>
  <w:style w:type="paragraph" w:styleId="Prrafodelista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02AA"/>
    <w:rPr>
      <w:rFonts w:eastAsiaTheme="minorEastAsia"/>
      <w:lang w:eastAsia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Clasificación Por Trimestre</a:t>
            </a:r>
          </a:p>
          <a:p>
            <a:pPr>
              <a:defRPr sz="1200"/>
            </a:pPr>
            <a:r>
              <a:rPr lang="en-US" sz="1200"/>
              <a:t>Procesos De Compras</a:t>
            </a:r>
          </a:p>
          <a:p>
            <a:pPr>
              <a:defRPr sz="1200"/>
            </a:pPr>
            <a:r>
              <a:rPr lang="en-US" sz="1200"/>
              <a:t>Enero - MARZO</a:t>
            </a:r>
          </a:p>
          <a:p>
            <a:pPr>
              <a:defRPr sz="1200"/>
            </a:pPr>
            <a:r>
              <a:rPr lang="en-US" sz="120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Enero-Marzo</a:t>
            </a:r>
          </a:p>
          <a:p>
            <a:pPr>
              <a:defRPr/>
            </a:pPr>
            <a:r>
              <a:rPr lang="en-US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ENERO - MARZO</a:t>
            </a:r>
          </a:p>
          <a:p>
            <a:pPr>
              <a:defRPr sz="1200" cap="none"/>
            </a:pPr>
            <a:r>
              <a:rPr lang="en-US" sz="1200" cap="none" baseline="0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154227.35999999999</c:v>
                </c:pt>
                <c:pt idx="1">
                  <c:v>1136995.98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 Adjudicados por Tipo de Empresa</a:t>
            </a:r>
          </a:p>
          <a:p>
            <a:pPr>
              <a:defRPr sz="1200" cap="none"/>
            </a:pPr>
            <a:r>
              <a:rPr lang="en-US" sz="1200" cap="none"/>
              <a:t>Enero - Marzo</a:t>
            </a:r>
          </a:p>
          <a:p>
            <a:pPr>
              <a:defRPr sz="1200" cap="none"/>
            </a:pPr>
            <a:r>
              <a:rPr lang="en-US" sz="1200" cap="none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19696969696969702"/>
                  <c:y val="3.7664783427495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AD17D1B-4B9F-49EE-8131-EE99109CECA0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
RD$41,300.00 (</a:t>
                    </a:r>
                    <a:fld id="{DF13F459-17F3-41FF-B4B9-33253E958543}" type="PERCENTAGE">
                      <a:rPr lang="en-US" baseline="0"/>
                      <a:pPr>
                        <a:defRPr/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0.12121212121212122"/>
                  <c:y val="2.25988700564971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85930C-2427-47AE-A9AF-6C840AAF6EBD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RD$93,647.86 (</a:t>
                    </a:r>
                    <a:fld id="{B49BD71B-9C26-4082-B6B6-969E20C44CB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8B9E8-1097-466C-897A-AD49932E398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[NOMBRE DE CATEGORÍA]</a:t>
                    </a:fld>
                    <a:r>
                      <a:rPr lang="en-US" baseline="0"/>
                      <a:t>
RD$1,156,275.48 (</a:t>
                    </a:r>
                    <a:fld id="{397BDC14-D2FE-4D55-9619-75BA57CBB14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[PORCENTAJE]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41300</c:v>
                </c:pt>
                <c:pt idx="1">
                  <c:v>93647.86</c:v>
                </c:pt>
                <c:pt idx="2">
                  <c:v>1156275.48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062B-9327-4667-8CFB-9709F70A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ADMINISTRATIVO</cp:lastModifiedBy>
  <cp:revision>4</cp:revision>
  <cp:lastPrinted>2022-07-04T16:53:00Z</cp:lastPrinted>
  <dcterms:created xsi:type="dcterms:W3CDTF">2023-06-15T16:54:00Z</dcterms:created>
  <dcterms:modified xsi:type="dcterms:W3CDTF">2023-06-15T17:11:00Z</dcterms:modified>
</cp:coreProperties>
</file>